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E8B" w:rsidRDefault="006F6E8B" w:rsidP="006F6E8B">
      <w:pPr>
        <w:jc w:val="center"/>
        <w:rPr>
          <w:rFonts w:ascii="Arial" w:hAnsi="Arial" w:cs="Arial"/>
          <w:b/>
          <w:bCs/>
          <w:u w:val="single"/>
          <w:rtl/>
        </w:rPr>
      </w:pPr>
      <w:bookmarkStart w:id="0" w:name="_GoBack"/>
      <w:bookmarkEnd w:id="0"/>
      <w:r>
        <w:rPr>
          <w:rFonts w:cs="FrankRuehl"/>
          <w:noProof/>
          <w:sz w:val="28"/>
          <w:szCs w:val="28"/>
        </w:rPr>
        <w:drawing>
          <wp:inline distT="0" distB="0" distL="0" distR="0" wp14:anchorId="0D74E5CA" wp14:editId="58A01FF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rsidR="006F6E8B" w:rsidRDefault="006F6E8B" w:rsidP="006F6E8B">
      <w:pPr>
        <w:jc w:val="center"/>
        <w:rPr>
          <w:rFonts w:ascii="Arial" w:hAnsi="Arial" w:cs="Arial"/>
          <w:b/>
          <w:bCs/>
          <w:u w:val="single"/>
          <w:rtl/>
        </w:rPr>
      </w:pPr>
    </w:p>
    <w:p w:rsidR="006F6E8B" w:rsidRDefault="006F6E8B" w:rsidP="006F6E8B">
      <w:pPr>
        <w:jc w:val="center"/>
        <w:rPr>
          <w:rFonts w:ascii="Arial" w:hAnsi="Arial" w:cs="Arial"/>
          <w:b/>
          <w:bCs/>
          <w:u w:val="single"/>
          <w:rtl/>
        </w:rPr>
      </w:pPr>
      <w:r>
        <w:rPr>
          <w:rFonts w:ascii="Tahoma" w:hAnsi="Tahoma" w:cs="Tahoma"/>
          <w:b/>
          <w:bCs/>
          <w:color w:val="000080"/>
          <w:rtl/>
        </w:rPr>
        <w:t>בית משפט השלום בבאר שבע</w:t>
      </w:r>
    </w:p>
    <w:p w:rsidR="006F6E8B" w:rsidRDefault="006F6E8B" w:rsidP="006F6E8B">
      <w:pPr>
        <w:jc w:val="center"/>
        <w:rPr>
          <w:rFonts w:ascii="Arial" w:hAnsi="Arial" w:cs="Arial"/>
          <w:b/>
          <w:bCs/>
          <w:u w:val="single"/>
          <w:rtl/>
        </w:rPr>
      </w:pPr>
    </w:p>
    <w:p w:rsidR="006F6E8B" w:rsidRDefault="006F6E8B" w:rsidP="00C54141">
      <w:pPr>
        <w:rPr>
          <w:rFonts w:ascii="Arial" w:hAnsi="Arial" w:cs="Arial"/>
          <w:b/>
          <w:bCs/>
          <w:u w:val="single"/>
          <w:rtl/>
        </w:rPr>
      </w:pPr>
    </w:p>
    <w:p w:rsidR="006F6E8B" w:rsidRDefault="00093399" w:rsidP="006F6E8B">
      <w:pPr>
        <w:pStyle w:val="a3"/>
        <w:rPr>
          <w:rFonts w:ascii="Arial" w:hAnsi="Arial" w:cs="Arial"/>
          <w:b/>
          <w:bCs/>
          <w:u w:val="single"/>
          <w:rtl/>
        </w:rPr>
      </w:pPr>
      <w:sdt>
        <w:sdtPr>
          <w:rPr>
            <w:rtl/>
          </w:rPr>
          <w:alias w:val="1170"/>
          <w:tag w:val="1170"/>
          <w:id w:val="1606992678"/>
          <w:text w:multiLine="1"/>
        </w:sdtPr>
        <w:sdtEndPr/>
        <w:sdtContent>
          <w:r w:rsidR="006F6E8B" w:rsidRPr="006F6E8B">
            <w:rPr>
              <w:rtl/>
            </w:rPr>
            <w:t>ת"פ</w:t>
          </w:r>
        </w:sdtContent>
      </w:sdt>
      <w:r w:rsidR="006F6E8B" w:rsidRPr="006F6E8B">
        <w:rPr>
          <w:b/>
          <w:bCs/>
          <w:sz w:val="26"/>
          <w:szCs w:val="26"/>
          <w:rtl/>
        </w:rPr>
        <w:t xml:space="preserve"> </w:t>
      </w:r>
      <w:sdt>
        <w:sdtPr>
          <w:rPr>
            <w:rtl/>
          </w:rPr>
          <w:alias w:val="1171"/>
          <w:tag w:val="1171"/>
          <w:id w:val="-18630452"/>
          <w:text w:multiLine="1"/>
        </w:sdtPr>
        <w:sdtEndPr/>
        <w:sdtContent>
          <w:r w:rsidR="006F6E8B" w:rsidRPr="006F6E8B">
            <w:rPr>
              <w:rtl/>
            </w:rPr>
            <w:t>56900-11-18</w:t>
          </w:r>
        </w:sdtContent>
      </w:sdt>
      <w:r w:rsidR="006F6E8B" w:rsidRPr="006F6E8B">
        <w:rPr>
          <w:b/>
          <w:bCs/>
          <w:sz w:val="26"/>
          <w:szCs w:val="26"/>
          <w:rtl/>
        </w:rPr>
        <w:t xml:space="preserve"> </w:t>
      </w:r>
      <w:sdt>
        <w:sdtPr>
          <w:rPr>
            <w:rtl/>
          </w:rPr>
          <w:alias w:val="1172"/>
          <w:tag w:val="1172"/>
          <w:id w:val="-887258843"/>
          <w:text w:multiLine="1"/>
        </w:sdtPr>
        <w:sdtEndPr/>
        <w:sdtContent>
          <w:r w:rsidR="006F6E8B" w:rsidRPr="006F6E8B">
            <w:rPr>
              <w:rtl/>
            </w:rPr>
            <w:t xml:space="preserve">מדינת ישראל נ' </w:t>
          </w:r>
          <w:proofErr w:type="spellStart"/>
          <w:r w:rsidR="006F6E8B" w:rsidRPr="006F6E8B">
            <w:rPr>
              <w:rtl/>
            </w:rPr>
            <w:t>אלקטנאני</w:t>
          </w:r>
          <w:proofErr w:type="spellEnd"/>
        </w:sdtContent>
      </w:sdt>
      <w:r w:rsidR="006F6E8B">
        <w:rPr>
          <w:rFonts w:ascii="Arial" w:hAnsi="Arial" w:cs="Arial" w:hint="cs"/>
          <w:b/>
          <w:bCs/>
          <w:u w:val="single"/>
          <w:rtl/>
        </w:rPr>
        <w:t xml:space="preserve"> </w:t>
      </w:r>
    </w:p>
    <w:p w:rsidR="006F6E8B" w:rsidRDefault="006F6E8B" w:rsidP="006F6E8B">
      <w:pPr>
        <w:pStyle w:val="a3"/>
        <w:jc w:val="right"/>
        <w:rPr>
          <w:rFonts w:ascii="Arial" w:hAnsi="Arial" w:cs="Arial"/>
          <w:b/>
          <w:bCs/>
          <w:u w:val="single"/>
          <w:rtl/>
        </w:rPr>
      </w:pPr>
    </w:p>
    <w:p w:rsidR="006F6E8B" w:rsidRPr="006F6E8B" w:rsidRDefault="006F6E8B" w:rsidP="006F6E8B">
      <w:pPr>
        <w:pStyle w:val="a3"/>
        <w:jc w:val="right"/>
        <w:rPr>
          <w:b/>
          <w:bCs/>
          <w:sz w:val="26"/>
          <w:szCs w:val="26"/>
          <w:rtl/>
        </w:rPr>
      </w:pPr>
      <w:r>
        <w:rPr>
          <w:rFonts w:ascii="Arial" w:hAnsi="Arial" w:cs="Arial" w:hint="cs"/>
          <w:b/>
          <w:bCs/>
          <w:u w:val="single"/>
          <w:rtl/>
        </w:rPr>
        <w:t xml:space="preserve"> </w:t>
      </w:r>
      <w:sdt>
        <w:sdtPr>
          <w:rPr>
            <w:rtl/>
          </w:rPr>
          <w:alias w:val="1455"/>
          <w:tag w:val="1455"/>
          <w:id w:val="-2140951106"/>
          <w:text w:multiLine="1"/>
        </w:sdtPr>
        <w:sdtEndPr/>
        <w:sdtContent>
          <w:r w:rsidRPr="006F6E8B">
            <w:rPr>
              <w:rFonts w:hint="cs"/>
              <w:rtl/>
            </w:rPr>
            <w:t>ג' תשרי תשפ"ג</w:t>
          </w:r>
        </w:sdtContent>
      </w:sdt>
    </w:p>
    <w:sdt>
      <w:sdtPr>
        <w:rPr>
          <w:rFonts w:ascii="Times New Roman" w:eastAsia="Times New Roman" w:hAnsi="Times New Roman" w:cs="David"/>
          <w:sz w:val="24"/>
          <w:szCs w:val="24"/>
        </w:rPr>
        <w:alias w:val="1456"/>
        <w:tag w:val="1456"/>
        <w:id w:val="-1481533608"/>
        <w:text w:multiLine="1"/>
      </w:sdtPr>
      <w:sdtEndPr/>
      <w:sdtContent>
        <w:p w:rsidR="006F6E8B" w:rsidRDefault="006F6E8B" w:rsidP="006F6E8B">
          <w:pPr>
            <w:bidi w:val="0"/>
            <w:rPr>
              <w:rFonts w:ascii="Arial" w:hAnsi="Arial" w:cs="Arial"/>
              <w:b/>
              <w:bCs/>
              <w:u w:val="single"/>
              <w:rtl/>
            </w:rPr>
          </w:pPr>
          <w:r w:rsidRPr="006F6E8B">
            <w:rPr>
              <w:rFonts w:ascii="Times New Roman" w:eastAsia="Times New Roman" w:hAnsi="Times New Roman" w:cs="David" w:hint="cs"/>
              <w:sz w:val="24"/>
              <w:szCs w:val="24"/>
              <w:rtl/>
            </w:rPr>
            <w:t>28 ספטמבר 2022</w:t>
          </w:r>
        </w:p>
      </w:sdtContent>
    </w:sdt>
    <w:p w:rsidR="006F6E8B" w:rsidRDefault="006F6E8B" w:rsidP="00C54141">
      <w:pPr>
        <w:rPr>
          <w:rFonts w:ascii="Arial" w:hAnsi="Arial" w:cs="Arial"/>
          <w:b/>
          <w:bCs/>
          <w:u w:val="single"/>
          <w:rtl/>
        </w:rPr>
      </w:pPr>
    </w:p>
    <w:p w:rsidR="00C54141" w:rsidRDefault="00C54141" w:rsidP="00C54141">
      <w:pPr>
        <w:rPr>
          <w:b/>
          <w:bCs/>
          <w:u w:val="single"/>
        </w:rPr>
      </w:pPr>
      <w:r>
        <w:rPr>
          <w:rFonts w:ascii="Arial" w:hAnsi="Arial" w:cs="Arial"/>
          <w:b/>
          <w:bCs/>
          <w:u w:val="single"/>
          <w:rtl/>
        </w:rPr>
        <w:t>תקציר פסק דין ת"פ 56900-11-18</w:t>
      </w:r>
    </w:p>
    <w:p w:rsidR="00C54141" w:rsidRDefault="00C54141" w:rsidP="00C54141">
      <w:pPr>
        <w:rPr>
          <w:rFonts w:ascii="Arial" w:hAnsi="Arial" w:cs="Arial"/>
        </w:rPr>
      </w:pPr>
    </w:p>
    <w:p w:rsidR="00C54141" w:rsidRDefault="00C54141" w:rsidP="00C54141">
      <w:pPr>
        <w:rPr>
          <w:rFonts w:ascii="Arial" w:hAnsi="Arial" w:cs="Arial"/>
        </w:rPr>
      </w:pPr>
      <w:r>
        <w:rPr>
          <w:rFonts w:ascii="Arial" w:hAnsi="Arial" w:cs="Arial"/>
          <w:rtl/>
        </w:rPr>
        <w:t>נגד הנאשם הוגש כתב אישום המייחס לו עבירה של אחזקת אמצעי לחימה ותחמושת שלא כדין, בניגוד לסעיף 144(א) לחוק העונשין, תשל"ז – 1977.</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rtl/>
        </w:rPr>
        <w:t xml:space="preserve">על פי המפורט בכתב האישום, נתפס בביתו של הנאשם, אחמד בן </w:t>
      </w:r>
      <w:proofErr w:type="spellStart"/>
      <w:r>
        <w:rPr>
          <w:rFonts w:ascii="Arial" w:hAnsi="Arial" w:cs="Arial"/>
          <w:rtl/>
        </w:rPr>
        <w:t>קאיד</w:t>
      </w:r>
      <w:proofErr w:type="spellEnd"/>
      <w:r>
        <w:rPr>
          <w:rFonts w:ascii="Arial" w:hAnsi="Arial" w:cs="Arial"/>
          <w:rtl/>
        </w:rPr>
        <w:t xml:space="preserve"> </w:t>
      </w:r>
      <w:proofErr w:type="spellStart"/>
      <w:r>
        <w:rPr>
          <w:rFonts w:ascii="Arial" w:hAnsi="Arial" w:cs="Arial"/>
          <w:rtl/>
        </w:rPr>
        <w:t>אלקטנאני</w:t>
      </w:r>
      <w:proofErr w:type="spellEnd"/>
      <w:r>
        <w:rPr>
          <w:rFonts w:ascii="Arial" w:hAnsi="Arial" w:cs="Arial"/>
          <w:rtl/>
        </w:rPr>
        <w:t xml:space="preserve">, בעיר רהט, מטען חבלה עם חומר נפץ מרסק, להפעלה מרחוק באמצעות מנגנון אלחוט, רימון הלם </w:t>
      </w:r>
      <w:proofErr w:type="spellStart"/>
      <w:r>
        <w:rPr>
          <w:rFonts w:ascii="Arial" w:hAnsi="Arial" w:cs="Arial"/>
          <w:rtl/>
        </w:rPr>
        <w:t>סינוור</w:t>
      </w:r>
      <w:proofErr w:type="spellEnd"/>
      <w:r>
        <w:rPr>
          <w:rFonts w:ascii="Arial" w:hAnsi="Arial" w:cs="Arial"/>
          <w:rtl/>
        </w:rPr>
        <w:t xml:space="preserve"> 7290</w:t>
      </w:r>
      <w:r>
        <w:t>M</w:t>
      </w:r>
      <w:r>
        <w:rPr>
          <w:rFonts w:ascii="Arial" w:hAnsi="Arial" w:cs="Arial"/>
          <w:rtl/>
        </w:rPr>
        <w:t>, וכן כמות גדולה של מחסניות ותחמושת – קרוב ל-300 כדור 5.56, חלקם בתפזורת וחלקם מסודרים במחסניות.</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rtl/>
        </w:rPr>
        <w:t xml:space="preserve">הנאשם כפר באשמה וטען, כי </w:t>
      </w:r>
      <w:r>
        <w:rPr>
          <w:rFonts w:ascii="Arial" w:hAnsi="Arial" w:cs="Arial" w:hint="cs"/>
          <w:rtl/>
        </w:rPr>
        <w:t>קרוב משפחה בשם חליל</w:t>
      </w:r>
      <w:r>
        <w:rPr>
          <w:rFonts w:ascii="Arial" w:hAnsi="Arial" w:cs="Arial"/>
          <w:rtl/>
        </w:rPr>
        <w:t xml:space="preserve"> מסר לו את התיק לאחסנה ולשמירה אצלו, מבלי שהיה מודע לתוכנו.</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rtl/>
        </w:rPr>
        <w:t xml:space="preserve">לאחר שמיעת ראיות קבע בית המשפט בהכרעת הדין, כי הנאשם היה מודע בפועל לתכולת התיק ואף שימש </w:t>
      </w:r>
      <w:r>
        <w:rPr>
          <w:rFonts w:ascii="Arial" w:hAnsi="Arial" w:cs="Arial" w:hint="cs"/>
          <w:rtl/>
        </w:rPr>
        <w:t xml:space="preserve">כשותף פעיל בכל הנוגע להחזקת אמצעי הלחימה ולא רק כמי שהחזיק אותם באופן מקרי או נקודתי בעבור אדם אחר. </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t xml:space="preserve">עוד נקבע, מעבר לנדרש, כי גם אם הייתה מתקבלת גרסתו של הנאשם (שלא התקבלה בסופו של דבר) </w:t>
      </w:r>
      <w:r>
        <w:rPr>
          <w:rFonts w:ascii="Arial" w:hAnsi="Arial" w:cs="Arial"/>
          <w:rtl/>
        </w:rPr>
        <w:t>–</w:t>
      </w:r>
      <w:r>
        <w:rPr>
          <w:rFonts w:ascii="Arial" w:hAnsi="Arial" w:cs="Arial" w:hint="cs"/>
          <w:rtl/>
        </w:rPr>
        <w:t xml:space="preserve"> הרי בנסיבות בהן הגיע התיק לחזקתו, מאת אותו קרוב משפחה, המוכר </w:t>
      </w:r>
      <w:proofErr w:type="spellStart"/>
      <w:r>
        <w:rPr>
          <w:rFonts w:ascii="Arial" w:hAnsi="Arial" w:cs="Arial" w:hint="cs"/>
          <w:rtl/>
        </w:rPr>
        <w:t>כעברין</w:t>
      </w:r>
      <w:proofErr w:type="spellEnd"/>
      <w:r>
        <w:rPr>
          <w:rFonts w:ascii="Arial" w:hAnsi="Arial" w:cs="Arial" w:hint="cs"/>
          <w:rtl/>
        </w:rPr>
        <w:t xml:space="preserve">; לאחר שהוזהר שלא לפתוח את התיק; שלאחר שאותו קרוב, ציין כי חושש שיערך חיפוש בביתו והמטרה תמצא את התיק; לאחר שאותו קרוב מסר לו, שמה שיש בתוק התיק שווה עשרות אלפי ₪ וכי בן משפחה אחר סירב להחזיק בתיק בביתו, מחשש שיסתבך </w:t>
      </w:r>
      <w:r>
        <w:rPr>
          <w:rFonts w:ascii="Arial" w:hAnsi="Arial" w:cs="Arial"/>
          <w:rtl/>
        </w:rPr>
        <w:t>–</w:t>
      </w:r>
      <w:r>
        <w:rPr>
          <w:rFonts w:ascii="Arial" w:hAnsi="Arial" w:cs="Arial" w:hint="cs"/>
          <w:rtl/>
        </w:rPr>
        <w:t xml:space="preserve"> קמה החזקה הקבועה בדיני העונשין המכונה "עצימת עיניים" (זו חזקה המדברת על מקרה בו אדם מחזיק בדבר מה שהוא חושד, כי המדובר בפריט האסור להחזקה אך נמנע מלברר זאת) </w:t>
      </w:r>
      <w:r>
        <w:rPr>
          <w:rFonts w:ascii="Arial" w:hAnsi="Arial" w:cs="Arial"/>
          <w:rtl/>
        </w:rPr>
        <w:t>–</w:t>
      </w:r>
      <w:r>
        <w:rPr>
          <w:rFonts w:ascii="Arial" w:hAnsi="Arial" w:cs="Arial" w:hint="cs"/>
          <w:rtl/>
        </w:rPr>
        <w:t xml:space="preserve"> ניתן היה להרשיעו בדין.</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t>עוד נקבע בהכרעת הדין, כי הנאשם התנהג באופן מניפולטיבי בחקירה וניסה לשבשה על מנת לטשטש ככל הניתן את מסלול העברת אמצעי הלחימה ואף תכנן נקמה כלפי מי שהוא סבר, ששיתף פעולה עם המשטרה ומסר את המידע שהביא לתפיסתם.</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t>הנאשם הורשע בעובדות ובעבירות שבכתב האישום.</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t>בגזר הדין, שניתן ביום 31.05.23, הדגיש בית המשפט את פוטנציאל הפגיעה כתוצאה מהחזקת אמצעי לחימה קטלניים שלא כדין, העלולים למצוא את דרכם לפעילות פלילית ואף לפעילות נגד בטחון המדינה. כן עלולים להביא לפגיעה בשלטון החוק ובאנשי מערכת אכיפת החוק.</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t>בית המשפט ראה חומרה יתרה בהחזקת אמצעי לחימה מסוג מטען חבלה והפנה לפסיקה, לפיה אין כל מקום להתחשבות, הבנה או סלחנות ויש לטפל בתופעה זו ביד קשה.</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t xml:space="preserve">בית המשפט דחה את טענת ההגנה לפיה, הנאשם, שהיה מעט מעל לגיל 18 שנים בעת שנתפס, הוא בגדר "בגיר צעיר" וכי בשל כך ראוי להתחשבות. בית המשפט קבע, כי אין להוסיף על הקטגוריות הקבועות בדין, המבחינות בין בגיר לקטין בלבד. </w:t>
      </w:r>
    </w:p>
    <w:p w:rsidR="00C54141" w:rsidRDefault="00C54141" w:rsidP="00C54141">
      <w:pPr>
        <w:rPr>
          <w:rFonts w:ascii="Arial" w:hAnsi="Arial" w:cs="Arial"/>
          <w:rtl/>
        </w:rPr>
      </w:pPr>
    </w:p>
    <w:p w:rsidR="00C54141" w:rsidRDefault="00C54141" w:rsidP="00C54141">
      <w:pPr>
        <w:rPr>
          <w:rFonts w:ascii="Arial" w:hAnsi="Arial" w:cs="Arial"/>
          <w:rtl/>
        </w:rPr>
      </w:pPr>
      <w:r>
        <w:rPr>
          <w:rFonts w:ascii="Arial" w:hAnsi="Arial" w:cs="Arial" w:hint="cs"/>
          <w:rtl/>
        </w:rPr>
        <w:lastRenderedPageBreak/>
        <w:t>בית המשפט דחה את הטענה, כי הנאשם נוצל על ידי אחרים וקבע, כי מעמדו בהיררכי</w:t>
      </w:r>
      <w:r>
        <w:rPr>
          <w:rFonts w:ascii="Arial" w:hAnsi="Arial" w:cs="Arial" w:hint="eastAsia"/>
          <w:rtl/>
        </w:rPr>
        <w:t>ה</w:t>
      </w:r>
      <w:r>
        <w:rPr>
          <w:rFonts w:ascii="Arial" w:hAnsi="Arial" w:cs="Arial" w:hint="cs"/>
          <w:rtl/>
        </w:rPr>
        <w:t xml:space="preserve"> של המעורבים בפרשה לא היה זוטר, וכי אין מקום להצגתו כ"קורבן" בפרשה.</w:t>
      </w:r>
    </w:p>
    <w:p w:rsidR="00C54141" w:rsidRDefault="00C54141" w:rsidP="00C54141">
      <w:pPr>
        <w:rPr>
          <w:rFonts w:ascii="Arial" w:hAnsi="Arial" w:cs="Arial"/>
          <w:rtl/>
        </w:rPr>
      </w:pPr>
    </w:p>
    <w:p w:rsidR="00C54141" w:rsidRPr="00C54141" w:rsidRDefault="00C54141" w:rsidP="00C54141">
      <w:pPr>
        <w:rPr>
          <w:rFonts w:ascii="Arial" w:hAnsi="Arial" w:cs="Arial"/>
        </w:rPr>
      </w:pPr>
      <w:r>
        <w:rPr>
          <w:rFonts w:ascii="Arial" w:hAnsi="Arial" w:cs="Arial" w:hint="cs"/>
          <w:rtl/>
        </w:rPr>
        <w:t xml:space="preserve">חרף גילו הצעיר והעדר הרשעות קודמות </w:t>
      </w:r>
      <w:r>
        <w:rPr>
          <w:rFonts w:ascii="Arial" w:hAnsi="Arial" w:cs="Arial"/>
          <w:rtl/>
        </w:rPr>
        <w:t>–</w:t>
      </w:r>
      <w:r>
        <w:rPr>
          <w:rFonts w:ascii="Arial" w:hAnsi="Arial" w:cs="Arial" w:hint="cs"/>
          <w:rtl/>
        </w:rPr>
        <w:t xml:space="preserve"> דן בית המשפט לעונש מאסר בפועל למשך שלוש שנים; מאסרים מותנים; קנס בסך 15,000 ₪.  </w:t>
      </w:r>
    </w:p>
    <w:sectPr w:rsidR="00C54141" w:rsidRPr="00C54141" w:rsidSect="006B717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141"/>
    <w:rsid w:val="00093399"/>
    <w:rsid w:val="000A00E6"/>
    <w:rsid w:val="00280DE3"/>
    <w:rsid w:val="003F4B9C"/>
    <w:rsid w:val="006B717C"/>
    <w:rsid w:val="006F6E8B"/>
    <w:rsid w:val="00733035"/>
    <w:rsid w:val="00782B35"/>
    <w:rsid w:val="00C4795D"/>
    <w:rsid w:val="00C54141"/>
    <w:rsid w:val="00D664A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1F179-C98E-40B5-AA8F-AB4F5DCD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141"/>
    <w:pPr>
      <w:bidi/>
      <w:spacing w:after="0" w:line="240" w:lineRule="auto"/>
    </w:pPr>
    <w:rPr>
      <w:rFonts w:ascii="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F6E8B"/>
    <w:pPr>
      <w:tabs>
        <w:tab w:val="center" w:pos="4153"/>
        <w:tab w:val="right" w:pos="8306"/>
      </w:tabs>
    </w:pPr>
    <w:rPr>
      <w:rFonts w:ascii="Times New Roman" w:eastAsia="Times New Roman" w:hAnsi="Times New Roman" w:cs="David"/>
      <w:sz w:val="24"/>
      <w:szCs w:val="24"/>
    </w:rPr>
  </w:style>
  <w:style w:type="character" w:customStyle="1" w:styleId="a4">
    <w:name w:val="כותרת עליונה תו"/>
    <w:basedOn w:val="a0"/>
    <w:link w:val="a3"/>
    <w:rsid w:val="006F6E8B"/>
    <w:rPr>
      <w:rFonts w:ascii="Times New Roman" w:eastAsia="Times New Roman" w:hAnsi="Times New Roman"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2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2080</Characters>
  <Application>Microsoft Office Word</Application>
  <DocSecurity>0</DocSecurity>
  <Lines>17</Lines>
  <Paragraphs>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מאי כחלון</dc:creator>
  <cp:keywords/>
  <dc:description/>
  <cp:lastModifiedBy>אסתר טטרואשילי</cp:lastModifiedBy>
  <cp:revision>2</cp:revision>
  <dcterms:created xsi:type="dcterms:W3CDTF">2023-06-04T12:22:00Z</dcterms:created>
  <dcterms:modified xsi:type="dcterms:W3CDTF">2023-06-04T12:22:00Z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91afeb94df9bb0dc87436d68b11cef176d43288feb4a9446ff57ef71548275c4</vt:lpwstr>
  </property>
</Properties>
</file>